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Мониторинг общежития за 2020г.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 xml:space="preserve">Наименование жилого объекта </w:t>
      </w:r>
      <w:r>
        <w:rPr>
          <w:rFonts w:eastAsia="Times New Roman" w:cs="Arial" w:ascii="Arial" w:hAnsi="Arial"/>
          <w:i/>
          <w:color w:val="212529"/>
          <w:sz w:val="24"/>
          <w:szCs w:val="24"/>
          <w:lang w:eastAsia="ru-RU"/>
        </w:rPr>
        <w:t>Общежитие №3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Адрес жилого объекта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212529"/>
          <w:sz w:val="24"/>
          <w:szCs w:val="24"/>
        </w:rPr>
        <w:t xml:space="preserve">  </w:t>
      </w:r>
      <w:r>
        <w:rPr>
          <w:rFonts w:eastAsia="Times New Roman" w:cs="Arial" w:ascii="Arial" w:hAnsi="Arial"/>
          <w:i/>
          <w:color w:val="212529"/>
          <w:sz w:val="24"/>
          <w:szCs w:val="24"/>
        </w:rPr>
        <w:t>Чувашская Республика, г.Алатырь , ул. Первомайская д.29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Регион расположения жилого объекта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i/>
          <w:color w:val="212529"/>
          <w:sz w:val="24"/>
          <w:szCs w:val="24"/>
        </w:rPr>
        <w:t>Чувашская Республика</w:t>
      </w: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Кадастровый номер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i/>
          <w:color w:val="212529"/>
          <w:sz w:val="24"/>
          <w:szCs w:val="24"/>
        </w:rPr>
        <w:t xml:space="preserve">  </w:t>
      </w:r>
      <w:r>
        <w:rPr>
          <w:rFonts w:eastAsia="Times New Roman" w:cs="Arial" w:ascii="Arial" w:hAnsi="Arial"/>
          <w:i/>
          <w:color w:val="212529"/>
          <w:sz w:val="24"/>
          <w:szCs w:val="24"/>
        </w:rPr>
        <w:t>21:03:010406:188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Основание для использования здания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2436495" cy="232410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Номер регистрации права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212529"/>
          <w:sz w:val="24"/>
          <w:szCs w:val="24"/>
        </w:rPr>
        <w:t xml:space="preserve"> </w:t>
      </w:r>
      <w:r>
        <w:rPr>
          <w:rFonts w:eastAsia="Times New Roman" w:cs="Arial" w:ascii="Arial" w:hAnsi="Arial"/>
          <w:i/>
          <w:color w:val="212529"/>
          <w:sz w:val="24"/>
          <w:szCs w:val="24"/>
        </w:rPr>
        <w:t>21 АД 042622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 xml:space="preserve">2. Дата регистрации права </w:t>
      </w:r>
      <w:r>
        <w:rPr>
          <w:rFonts w:eastAsia="Times New Roman" w:cs="Arial" w:ascii="Arial" w:hAnsi="Arial"/>
          <w:i/>
          <w:color w:val="212529"/>
          <w:sz w:val="24"/>
          <w:szCs w:val="24"/>
          <w:lang w:eastAsia="ru-RU"/>
        </w:rPr>
        <w:t>15.02.2010 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Планировка жилых помещений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1064895" cy="232410"/>
            <wp:effectExtent l="0" t="0" r="0" b="0"/>
            <wp:docPr id="8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Тип размещения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1522095" cy="232410"/>
            <wp:effectExtent l="0" t="0" r="0" b="0"/>
            <wp:docPr id="9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приборов учета использования ресурсов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1979295" cy="232410"/>
            <wp:effectExtent l="0" t="0" r="0" b="0"/>
            <wp:docPr id="10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Сметная стоимость строительства (реконструкции) в ценах года её определения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Год, в ценах которого определена стоимость строительства (реконструкции)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Год начала строительства </w:t>
      </w:r>
      <w:r>
        <w:rPr>
          <w:rFonts w:eastAsia="Times New Roman" w:cs="Arial" w:ascii="Arial" w:hAnsi="Arial"/>
          <w:color w:val="212529"/>
          <w:sz w:val="24"/>
          <w:szCs w:val="24"/>
          <w:u w:val="single"/>
          <w:lang w:eastAsia="ru-RU"/>
        </w:rPr>
        <w:t>1968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Год постройки здания </w:t>
      </w:r>
      <w:r>
        <w:rPr>
          <w:rFonts w:eastAsia="Times New Roman" w:cs="Arial" w:ascii="Arial" w:hAnsi="Arial"/>
          <w:color w:val="212529"/>
          <w:sz w:val="24"/>
          <w:szCs w:val="24"/>
          <w:u w:val="single"/>
          <w:lang w:eastAsia="ru-RU"/>
        </w:rPr>
        <w:t>1970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Год ввода в эксплуатацию </w:t>
      </w:r>
      <w:r>
        <w:rPr>
          <w:rFonts w:eastAsia="Times New Roman" w:cs="Arial" w:ascii="Arial" w:hAnsi="Arial"/>
          <w:color w:val="212529"/>
          <w:sz w:val="24"/>
          <w:szCs w:val="24"/>
          <w:u w:val="single"/>
          <w:lang w:eastAsia="ru-RU"/>
        </w:rPr>
        <w:t>1970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Объемы финансирования строительства: 95351,49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За счёт средств федерального бюджета (если объект включен в ФАИП)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95351,49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2. За счёт средств бюджета субъекта РФ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3. За счёт внебюджетных средств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Реконструкция или капитальный ремонт проводился, проводится или запланирован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69290" cy="232410"/>
            <wp:effectExtent l="0" t="0" r="0" b="0"/>
            <wp:docPr id="13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212529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212529"/>
          <w:sz w:val="24"/>
          <w:szCs w:val="24"/>
        </w:rPr>
        <w:t>2020г. 2520812,26руб. - ФБ, 1569,53руб. – внебюдж.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Используется ли объект в уставных целях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1297305" cy="232410"/>
            <wp:effectExtent l="0" t="0" r="0" b="0"/>
            <wp:docPr id="15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shd w:fill="FFFFFF" w:val="clear"/>
          <w:lang w:eastAsia="ru-RU"/>
        </w:rPr>
        <w:t>Доступность зданий для использования лицами с ограниченными возможностями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пандуса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17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специализированных подъемных механизмов и поручней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18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Оборудование специализированными санузлами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19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систем сигнализации и оповещения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0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тактильных покрытий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тактильных вывесок со шрифтом Брайля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2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единиц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Наличие в общежитии бесплатного доступа к информационно-коммуникационной сети “Интернет”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69290" cy="232410"/>
            <wp:effectExtent l="0" t="0" r="0" b="0"/>
            <wp:docPr id="24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Минимальный период заключения договора аренды жилого помещения в общежитии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6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месяцев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Максимальный период заключения договора аренды жилого помещения в общежитии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/>
        <w:drawing>
          <wp:inline distT="0" distB="0" distL="0" distR="0">
            <wp:extent cx="676275" cy="232410"/>
            <wp:effectExtent l="0" t="0" r="0" b="0"/>
            <wp:docPr id="27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месяцев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3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Площадь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Общая площадь: 2656,3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Общая площадь, пригодная для использования: 2656,3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Жилая площадь, пригодная для проживания: 1468,7 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Занятая обучающимися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1149,72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Занятая иными категориями нанимателей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36,54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В. Свободная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282,44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Г. Неиспользуемая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2. Нежилая площадь в пригодных для проживания объектах: 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Социальная инфраструктура:  90,2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Пункты питания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Помещения для организации учебного процесса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15,2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Помещения для организации медицинского обслуживания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Помещения для организации спортивных занятий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18,5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Помещения для организации культурных программ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56,5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Иные помещения социальной инфраструктуры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Иная нежилая площадь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Общая площадь, непригодная для использования: 0.00 м2</w:t>
      </w:r>
    </w:p>
    <w:tbl>
      <w:tblPr>
        <w:tblW w:w="10350" w:type="dxa"/>
        <w:jc w:val="left"/>
        <w:tblInd w:w="0" w:type="dxa"/>
        <w:tblBorders/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3"/>
        <w:gridCol w:w="1734"/>
        <w:gridCol w:w="1924"/>
        <w:gridCol w:w="1748"/>
      </w:tblGrid>
      <w:tr>
        <w:trPr>
          <w:tblHeader w:val="true"/>
        </w:trPr>
        <w:tc>
          <w:tcPr>
            <w:tcW w:w="4943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ru-RU"/>
              </w:rPr>
              <w:t>Общая площадь, непригодная для использования</w:t>
            </w:r>
          </w:p>
        </w:tc>
        <w:tc>
          <w:tcPr>
            <w:tcW w:w="1734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924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ru-RU"/>
              </w:rPr>
              <w:t>Нежилая площадь</w:t>
            </w:r>
          </w:p>
        </w:tc>
        <w:tc>
          <w:tcPr>
            <w:tcW w:w="174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ru-RU"/>
              </w:rPr>
              <w:t>Общая площадь</w:t>
            </w:r>
          </w:p>
        </w:tc>
      </w:tr>
      <w:tr>
        <w:trPr/>
        <w:tc>
          <w:tcPr>
            <w:tcW w:w="494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Находится в аварийном состоянии</w:t>
            </w:r>
          </w:p>
        </w:tc>
        <w:tc>
          <w:tcPr>
            <w:tcW w:w="173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0.00</w:t>
            </w:r>
          </w:p>
        </w:tc>
      </w:tr>
      <w:tr>
        <w:trPr/>
        <w:tc>
          <w:tcPr>
            <w:tcW w:w="494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Непригодна для использования по иным причинам</w:t>
            </w:r>
          </w:p>
        </w:tc>
        <w:tc>
          <w:tcPr>
            <w:tcW w:w="173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ru-RU"/>
              </w:rPr>
              <w:t>0.00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Жилая площадь, требующая капитального ремонта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1468,7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Не жилая площадь, требующая капитального ремонта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1187,6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Общая площадь, требующая капитального ремонта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2656,3 м</w:t>
      </w:r>
      <w:r>
        <w:rPr>
          <w:rFonts w:eastAsia="Times New Roman" w:cs="Arial" w:ascii="Arial" w:hAnsi="Arial"/>
          <w:color w:val="212529"/>
          <w:sz w:val="24"/>
          <w:szCs w:val="24"/>
          <w:vertAlign w:val="superscript"/>
          <w:lang w:eastAsia="ru-RU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Предоставлено в аренду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Предоставлено в безвозмездное пользование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Количество квадратных метров жилой площади на одного проживающего: 8,1 м2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Количество квадратных метров общей площади на одного проживающего: 14,6 м2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2"/>
        <w:rPr>
          <w:rFonts w:ascii="Arial" w:hAnsi="Arial" w:eastAsia="Times New Roman" w:cs="Arial"/>
          <w:color w:val="212529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212529"/>
          <w:sz w:val="27"/>
          <w:szCs w:val="27"/>
          <w:lang w:eastAsia="ru-RU"/>
        </w:rPr>
        <w:t>Места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Количество мест: 182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Количество пригодных для проживания мест: 182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Количество мест, занятых обучающимися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156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Количество мест, занятых иными категориями проживающих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В. Количество свободных мест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25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Г. Количество неиспользуемых мест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2. Количество непригодных к использованию мест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мест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Количество мест, оборудованных для лиц с ограниченными возможностями здоровья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Количество мест, возможных к вводу в эксплуатацию после проведения восстановительных работ: 0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Количество мест, возможных к вводу в эксплуатацию из числа неиспользуемых после проведения восстановительных работ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2. Количество мест, возможных к вводу в эксплуатацию из числа непригодных к использованию после проведения восстановительных работ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мест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2"/>
        <w:rPr>
          <w:rFonts w:ascii="Arial" w:hAnsi="Arial" w:eastAsia="Times New Roman" w:cs="Arial"/>
          <w:color w:val="212529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212529"/>
          <w:sz w:val="27"/>
          <w:szCs w:val="27"/>
          <w:lang w:eastAsia="ru-RU"/>
        </w:rPr>
        <w:t>Поступления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Общий объём поступлений: 733925,00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Поступления за проживание в жилом объекте без учёта дополнительных услуг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515141,96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2. Поступления за дополнительные услуги проживания в жилом объекте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218783,04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3. Поступления от аренды помещений жилого объекта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4. Поступления целевых средств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21252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12529" stroked="f" style="position:absolute;margin-left:0pt;margin-top:-0.15pt;width:467.75pt;height:0.05pt;mso-position-vertical:top">
                <w10:wrap type="none"/>
                <v:fill o:detectmouseclick="t" type="solid" color2="#dedad6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2"/>
        <w:rPr>
          <w:rFonts w:ascii="Arial" w:hAnsi="Arial" w:eastAsia="Times New Roman" w:cs="Arial"/>
          <w:color w:val="212529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212529"/>
          <w:sz w:val="27"/>
          <w:szCs w:val="27"/>
          <w:lang w:eastAsia="ru-RU"/>
        </w:rPr>
        <w:t>Расходы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Общий объем средств, направленных на расходы жилого объекта: 5824083,46 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1. Расходы на коммунальные услуги: 455871,33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Водоснабжение (холодное, горячие, водоотведение)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54951,64рублей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Тепловая энергия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В. Природный газ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285964,19рублей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Г. Электрическая энергия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114955,50рублей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 xml:space="preserve">2. Расходы, связанные с содержанием имущества: 557026,47 рублей (А-И </w:t>
      </w:r>
      <w:r>
        <w:rPr>
          <w:rFonts w:cs="Segoe UI" w:ascii="Segoe UI" w:hAnsi="Segoe UI"/>
          <w:color w:val="FFFFFF"/>
          <w:sz w:val="21"/>
          <w:szCs w:val="21"/>
          <w:shd w:fill="000000" w:val="clear"/>
        </w:rPr>
        <w:t>Начисленных за предыдущий календарный год, включая заработную плату с начислениями)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Уборка территории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97643,18рублей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Уборка помещений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378808,01рублей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В. Техническое обслуживание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Г. Дератизация, дезинсекция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Д. Вывоз ТБО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26190,55рублей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Е. Государственная поверка, паспортизация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Ж. Проведение обследования технического состояния (аттестация)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З. Противопожарные мероприятия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3313,29рублей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И. Иные расходы, связанные с содержанием имущества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51071,44рублей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3. Расходы на обеспечение безопасности проживания: 641714,73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Услуги охраны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583413рублей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Расходы в рамках антитеррористической защиты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В. Иные расходы, связанные с обеспечением безопасности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58301,73рублей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4. Расходы на уплату налогов: 2687 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А. Налог на имущество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1361рублей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Б. Земельный налог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1326рублей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5. Расходы на услуги связи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2995,20рублей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6. Расходы на капитальный ремонт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2522381,79рублей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7. Расходы на текущий ремонт (</w:t>
      </w:r>
      <w:r>
        <w:rPr>
          <w:rFonts w:cs="Segoe UI" w:ascii="Segoe UI" w:hAnsi="Segoe UI"/>
          <w:color w:val="FFFFFF"/>
          <w:sz w:val="21"/>
          <w:szCs w:val="21"/>
          <w:shd w:fill="000000" w:val="clear"/>
        </w:rPr>
        <w:t>Начисленных за предыдущий календарный год, включая заработную плату с начислениями</w:t>
      </w: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)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0рублей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8. Расходы на приобретение мягкого инвентаря и других материальных запасов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193087,04рублей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9. Расходы на приобретение основных средств, в том числе мебели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54692рублей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ru-RU"/>
        </w:rPr>
        <w:t>Фонд оплаты труда</w:t>
      </w:r>
    </w:p>
    <w:p>
      <w:pPr>
        <w:pStyle w:val="Normal"/>
        <w:shd w:val="clear" w:color="auto" w:fill="E9ECEF"/>
        <w:spacing w:lineRule="auto" w:line="240" w:before="0" w:after="0"/>
        <w:jc w:val="center"/>
        <w:rPr>
          <w:rFonts w:ascii="Arial" w:hAnsi="Arial" w:eastAsia="Times New Roman" w:cs="Arial"/>
          <w:color w:val="495057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495057"/>
          <w:sz w:val="24"/>
          <w:szCs w:val="24"/>
          <w:lang w:eastAsia="ru-RU"/>
        </w:rPr>
        <w:t>1393627,90рублей</w:t>
      </w:r>
    </w:p>
    <w:tbl>
      <w:tblPr>
        <w:tblW w:w="1035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2089"/>
        <w:gridCol w:w="2105"/>
        <w:gridCol w:w="1641"/>
        <w:gridCol w:w="2171"/>
      </w:tblGrid>
      <w:tr>
        <w:trPr>
          <w:tblHeader w:val="true"/>
        </w:trPr>
        <w:tc>
          <w:tcPr>
            <w:tcW w:w="2344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Размер платы в рублях</w:t>
            </w:r>
          </w:p>
        </w:tc>
        <w:tc>
          <w:tcPr>
            <w:tcW w:w="2089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 коммунальные услуги с учетом усредненных тарифов</w:t>
            </w:r>
          </w:p>
        </w:tc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 коммунальные услуги (по показаниям приборов учета)</w:t>
            </w:r>
          </w:p>
        </w:tc>
        <w:tc>
          <w:tcPr>
            <w:tcW w:w="1641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 пользование жилым помещением</w:t>
            </w:r>
          </w:p>
        </w:tc>
        <w:tc>
          <w:tcPr>
            <w:tcW w:w="2171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 дополнительные услуги (комфортность, иное)</w:t>
            </w:r>
          </w:p>
        </w:tc>
      </w:tr>
      <w:tr>
        <w:trPr/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 xml:space="preserve">Для обучающихся за счёт бюджетных средств                                          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523,18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232,52</w:t>
            </w:r>
          </w:p>
        </w:tc>
      </w:tr>
      <w:tr>
        <w:trPr/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 xml:space="preserve">Для обучающихся по договорам об оказании платных                         обр. услуг                                                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523,18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232,52</w:t>
            </w:r>
          </w:p>
        </w:tc>
      </w:tr>
      <w:tr>
        <w:trPr/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Для лиц не являющимися гражданами России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Для обучающихся других образовательных организаций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Для иных нанимателей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2959,99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2664,02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295,97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spacing w:lineRule="atLeas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4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a6218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a6218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sselected" w:customStyle="1">
    <w:name w:val="vs__selected"/>
    <w:basedOn w:val="DefaultParagraphFont"/>
    <w:qFormat/>
    <w:rsid w:val="00a62182"/>
    <w:rPr/>
  </w:style>
  <w:style w:type="character" w:styleId="Fontweightbold" w:customStyle="1">
    <w:name w:val="font-weight-bold"/>
    <w:basedOn w:val="DefaultParagraphFont"/>
    <w:qFormat/>
    <w:rsid w:val="00a62182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6218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6218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block" w:customStyle="1">
    <w:name w:val="d-block"/>
    <w:basedOn w:val="DefaultParagraphFont"/>
    <w:qFormat/>
    <w:rsid w:val="00a62182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621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rdtext" w:customStyle="1">
    <w:name w:val="card-text"/>
    <w:basedOn w:val="Normal"/>
    <w:qFormat/>
    <w:rsid w:val="00a621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t2" w:customStyle="1">
    <w:name w:val="mt-2"/>
    <w:basedOn w:val="Normal"/>
    <w:qFormat/>
    <w:rsid w:val="00a621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LibreOffice/6.1.6.3$Windows_x86 LibreOffice_project/5896ab1714085361c45cf540f76f60673dd96a72</Application>
  <Pages>5</Pages>
  <Words>820</Words>
  <Characters>5413</Characters>
  <CharactersWithSpaces>6148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2021-04-12T12:40:00Z</dcterms:created>
  <dc:creator>Уткин Евгений Александрович</dc:creator>
  <dc:description/>
  <dc:language>ru-RU</dc:language>
  <cp:lastModifiedBy/>
  <cp:lastPrinted>2021-04-14T08:20:00Z</cp:lastPrinted>
  <dcterms:modified xsi:type="dcterms:W3CDTF">2021-05-11T13:51:42Z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