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163B0F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bookmarkStart w:id="1" w:name="_GoBack"/>
      <w:bookmarkEnd w:id="0"/>
      <w:bookmarkEnd w:id="1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163B0F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3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деятельности (ВД): </w:t>
      </w:r>
      <w:bookmarkStart w:id="5" w:name="bookmark4"/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ВД.01. </w:t>
      </w:r>
      <w:r w:rsidR="00163B0F" w:rsidRPr="00163B0F">
        <w:rPr>
          <w:i/>
          <w:lang w:eastAsia="en-US"/>
        </w:rPr>
        <w:t>Организация перевозочного процесса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ВД.02. </w:t>
      </w:r>
      <w:r w:rsidR="00163B0F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3A15EE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ВД.03. </w:t>
      </w:r>
      <w:r w:rsidR="00163B0F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Pr="00163B0F">
        <w:rPr>
          <w:rStyle w:val="2"/>
          <w:i/>
          <w:color w:val="000000"/>
        </w:rPr>
        <w:t>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7662C1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5"/>
    </w:p>
    <w:p w:rsidR="004A26EC" w:rsidRPr="004A26E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proofErr w:type="gramStart"/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  <w:proofErr w:type="gramEnd"/>
    </w:p>
    <w:p w:rsidR="0023778E" w:rsidRPr="003E229C" w:rsidRDefault="0023778E" w:rsidP="007662C1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63B0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уметь: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обрабатывать и передавать оперативную информацию;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организовывать работу с документами;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знать: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основы эксплуатации технических средств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lastRenderedPageBreak/>
              <w:t>- состав, функции и возможности информационных и телекоммуникационных технологий и систем в профессиональной деятельности;</w:t>
            </w:r>
          </w:p>
          <w:p w:rsidR="00163B0F" w:rsidRPr="003E229C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02.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B0F">
              <w:rPr>
                <w:b/>
                <w:sz w:val="24"/>
                <w:szCs w:val="24"/>
              </w:rPr>
              <w:t>иметь практический опыт: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организации движения поездов при соблюдении </w:t>
            </w:r>
            <w:proofErr w:type="gramStart"/>
            <w:r w:rsidRPr="00163B0F">
              <w:rPr>
                <w:sz w:val="24"/>
                <w:szCs w:val="24"/>
              </w:rPr>
              <w:t>требований безопасности эксплуатации объектов инфраструктуры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уметь: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управление движением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разрабатывать график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организовывать, планировать перевозочный процесс и управлять им;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выбирать оптимальные решения при работах в условиях нестандартных и аварийных ситуаций;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оформлять документацию по контролю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знать: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основные принципы организации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организации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назначение и функциональные возможности информационных </w:t>
            </w:r>
            <w:r w:rsidRPr="00163B0F">
              <w:rPr>
                <w:sz w:val="24"/>
                <w:szCs w:val="24"/>
              </w:rPr>
              <w:lastRenderedPageBreak/>
              <w:t>автоматизированных систем, применяемых для организации перевозочного процесса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управления безопасностью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нормативно-правовую базу обеспечения безопасности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методики </w:t>
            </w:r>
            <w:proofErr w:type="gramStart"/>
            <w:r w:rsidRPr="00163B0F">
              <w:rPr>
                <w:sz w:val="24"/>
                <w:szCs w:val="24"/>
              </w:rPr>
              <w:t>расчета показателей работы объектов железнодорожного транспорта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виды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452" w:type="dxa"/>
          </w:tcPr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обеспечения грузовых и коммерческих операций;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принципы транспортной логистики;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перевозок грузов,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 xml:space="preserve">- порядок ведения установленной документации по транспортному </w:t>
            </w:r>
            <w:r w:rsidRPr="00F0311B">
              <w:rPr>
                <w:color w:val="auto"/>
                <w:sz w:val="24"/>
                <w:szCs w:val="24"/>
              </w:rPr>
              <w:lastRenderedPageBreak/>
              <w:t>обслуживанию и оказанию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163B0F" w:rsidRPr="003E229C" w:rsidRDefault="00F0311B" w:rsidP="00F0311B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управлению персоналом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7"/>
    </w:p>
    <w:p w:rsidR="0023778E" w:rsidRPr="003E229C" w:rsidRDefault="006A4AD7" w:rsidP="007662C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6"/>
    </w:p>
    <w:p w:rsidR="00702498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деятельности: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63B0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163B0F" w:rsidRPr="003E229C" w:rsidTr="004A26EC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02.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03.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7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F0311B" w:rsidRDefault="00F0311B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lastRenderedPageBreak/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8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1D6036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10" w:name="bookmark11"/>
      <w:r w:rsidRPr="001D6036">
        <w:rPr>
          <w:rStyle w:val="2"/>
          <w:color w:val="000000"/>
        </w:rPr>
        <w:t xml:space="preserve">ПМ.01. Организация перевозочного процесса </w:t>
      </w:r>
      <w:r w:rsidR="00FF6E08">
        <w:rPr>
          <w:rStyle w:val="2"/>
          <w:color w:val="000000"/>
        </w:rPr>
        <w:t xml:space="preserve">на транспорте </w:t>
      </w:r>
      <w:r w:rsidRPr="001D6036">
        <w:rPr>
          <w:rStyle w:val="2"/>
          <w:color w:val="000000"/>
        </w:rPr>
        <w:t>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1D6036" w:rsidRDefault="001D6036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F0311B" w:rsidTr="00F0311B">
        <w:tc>
          <w:tcPr>
            <w:tcW w:w="959" w:type="dxa"/>
          </w:tcPr>
          <w:p w:rsidR="00C379F8" w:rsidRPr="00F0311B" w:rsidRDefault="002C6E71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F0311B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F0311B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F0311B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F0311B" w:rsidRPr="00F0311B" w:rsidTr="00F0311B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9633" w:type="dxa"/>
            <w:vAlign w:val="center"/>
          </w:tcPr>
          <w:p w:rsidR="00F0311B" w:rsidRPr="00B85772" w:rsidRDefault="00F0311B" w:rsidP="00443247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2502E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502EF">
              <w:rPr>
                <w:rFonts w:ascii="Times New Roman" w:hAnsi="Times New Roman"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</w:tr>
      <w:tr w:rsidR="00F0311B" w:rsidRPr="00F0311B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F0311B" w:rsidRPr="00F0311B" w:rsidRDefault="00F0311B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F0311B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F0311B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F0311B" w:rsidRPr="003E229C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F0311B" w:rsidRPr="00F0311B" w:rsidRDefault="00F0311B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F0311B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F0311B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F0311B" w:rsidRPr="003E229C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F0311B" w:rsidRPr="00F0311B" w:rsidRDefault="00F0311B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F0311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F0311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F0311B" w:rsidRPr="00F0311B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F0311B" w:rsidRPr="00F0311B" w:rsidRDefault="00F0311B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F0311B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F0311B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F0311B" w:rsidRPr="00F0311B" w:rsidTr="00F0311B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EF">
              <w:rPr>
                <w:rFonts w:ascii="Times New Roman" w:hAnsi="Times New Roman"/>
                <w:sz w:val="24"/>
                <w:szCs w:val="24"/>
              </w:rPr>
              <w:t>ЛР 29</w:t>
            </w:r>
          </w:p>
        </w:tc>
        <w:tc>
          <w:tcPr>
            <w:tcW w:w="9633" w:type="dxa"/>
            <w:vAlign w:val="center"/>
          </w:tcPr>
          <w:p w:rsidR="00F0311B" w:rsidRPr="00B85772" w:rsidRDefault="00F0311B" w:rsidP="00443247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502EF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</w:tr>
      <w:tr w:rsidR="00F0311B" w:rsidRPr="00F0311B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F0311B" w:rsidRPr="00F0311B" w:rsidRDefault="00F0311B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t xml:space="preserve">Осуществляющий поиск и использование информации, необходимой для эффективного </w:t>
            </w:r>
            <w:r w:rsidRPr="00F0311B">
              <w:rPr>
                <w:rStyle w:val="2"/>
                <w:sz w:val="24"/>
                <w:szCs w:val="24"/>
              </w:rPr>
              <w:lastRenderedPageBreak/>
              <w:t>выполнения различных задач, профессионального и личностного развития</w:t>
            </w:r>
          </w:p>
        </w:tc>
      </w:tr>
      <w:tr w:rsidR="00F0311B" w:rsidRPr="003E229C" w:rsidTr="00F0311B">
        <w:tc>
          <w:tcPr>
            <w:tcW w:w="959" w:type="dxa"/>
          </w:tcPr>
          <w:p w:rsidR="00F0311B" w:rsidRPr="00F0311B" w:rsidRDefault="00F0311B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F0311B">
              <w:rPr>
                <w:rStyle w:val="2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9633" w:type="dxa"/>
          </w:tcPr>
          <w:p w:rsidR="00F0311B" w:rsidRPr="00F0311B" w:rsidRDefault="00F0311B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F0311B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F0311B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8"/>
          <w:headerReference w:type="first" r:id="rId9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3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882D7A">
      <w:pPr>
        <w:pStyle w:val="40"/>
        <w:shd w:val="clear" w:color="auto" w:fill="auto"/>
        <w:spacing w:after="432"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Default="00932B54" w:rsidP="00932B5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932B54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932B54" w:rsidRDefault="00932B54" w:rsidP="00932B5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практическую значимость 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290CE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 w:rsidR="00290CE4"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32B54" w:rsidRP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D073F" w:rsidRDefault="00BD073F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882D7A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7662C1">
            <w:pPr>
              <w:shd w:val="clear" w:color="auto" w:fill="FFFFFF"/>
              <w:tabs>
                <w:tab w:val="left" w:pos="5347"/>
              </w:tabs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D05C9" w:rsidRPr="00EF0682" w:rsidTr="004A77E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3D05C9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3D05C9" w:rsidRPr="00EF0682" w:rsidTr="00AF5784">
        <w:trPr>
          <w:trHeight w:val="3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3D05C9" w:rsidRPr="00EF0682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D05C9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использовать алгоритмы деятельности, связанные с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организацией движения в нестандартных ситуациях;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средств в соответствии с нормами и правилами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lastRenderedPageBreak/>
              <w:t>- систему организации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нормативно-правовую базу 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транспортно-логистическому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обеспечения грузовых и коммерческих операций;</w:t>
            </w:r>
          </w:p>
          <w:p w:rsidR="003D05C9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формы грузовых перевозочных </w:t>
            </w:r>
            <w:r w:rsidRPr="00203878">
              <w:rPr>
                <w:sz w:val="24"/>
                <w:szCs w:val="24"/>
              </w:rPr>
              <w:lastRenderedPageBreak/>
              <w:t>документов и договоров на транспортное обслуживание и оказание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F5784" w:rsidRPr="00A9571D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3D05C9" w:rsidRPr="00EF0682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26" w:rsidRDefault="00A2482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24826" w:rsidRDefault="00A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26" w:rsidRDefault="00A2482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24826" w:rsidRDefault="00A2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67" w:rsidRDefault="00600367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67" w:rsidRDefault="00600367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B49C9"/>
    <w:multiLevelType w:val="hybridMultilevel"/>
    <w:tmpl w:val="BC9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26298"/>
    <w:rsid w:val="00051D9C"/>
    <w:rsid w:val="00065E7E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3B0F"/>
    <w:rsid w:val="0018069F"/>
    <w:rsid w:val="001952DE"/>
    <w:rsid w:val="001963DF"/>
    <w:rsid w:val="001A39D4"/>
    <w:rsid w:val="001A5A9C"/>
    <w:rsid w:val="001A6C04"/>
    <w:rsid w:val="001B6992"/>
    <w:rsid w:val="001D1E61"/>
    <w:rsid w:val="001D6036"/>
    <w:rsid w:val="001F78C8"/>
    <w:rsid w:val="00202945"/>
    <w:rsid w:val="0022451C"/>
    <w:rsid w:val="00226DDC"/>
    <w:rsid w:val="0023278A"/>
    <w:rsid w:val="0023778E"/>
    <w:rsid w:val="002763B4"/>
    <w:rsid w:val="00286567"/>
    <w:rsid w:val="00290CE4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D05C9"/>
    <w:rsid w:val="003E229C"/>
    <w:rsid w:val="00402B8F"/>
    <w:rsid w:val="00404B06"/>
    <w:rsid w:val="0040578B"/>
    <w:rsid w:val="004142FB"/>
    <w:rsid w:val="004413C5"/>
    <w:rsid w:val="004540EC"/>
    <w:rsid w:val="00454DAE"/>
    <w:rsid w:val="00462B35"/>
    <w:rsid w:val="0046665C"/>
    <w:rsid w:val="00477A85"/>
    <w:rsid w:val="004A26EC"/>
    <w:rsid w:val="004A75A5"/>
    <w:rsid w:val="004A77EC"/>
    <w:rsid w:val="004B2604"/>
    <w:rsid w:val="004B39A3"/>
    <w:rsid w:val="004B7BD4"/>
    <w:rsid w:val="004E175E"/>
    <w:rsid w:val="005214BA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1A8F"/>
    <w:rsid w:val="006E3ACB"/>
    <w:rsid w:val="006E63FC"/>
    <w:rsid w:val="006F10D5"/>
    <w:rsid w:val="00702498"/>
    <w:rsid w:val="00735194"/>
    <w:rsid w:val="00754049"/>
    <w:rsid w:val="007662C1"/>
    <w:rsid w:val="00770E57"/>
    <w:rsid w:val="00772478"/>
    <w:rsid w:val="007769C1"/>
    <w:rsid w:val="007771F6"/>
    <w:rsid w:val="00784AD0"/>
    <w:rsid w:val="007F5926"/>
    <w:rsid w:val="008276FF"/>
    <w:rsid w:val="0083298E"/>
    <w:rsid w:val="00835C8B"/>
    <w:rsid w:val="00850578"/>
    <w:rsid w:val="00850FD8"/>
    <w:rsid w:val="008630CF"/>
    <w:rsid w:val="00882D7A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1347"/>
    <w:rsid w:val="008F6D8E"/>
    <w:rsid w:val="00914731"/>
    <w:rsid w:val="0093288F"/>
    <w:rsid w:val="00932B54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4826"/>
    <w:rsid w:val="00A25B5D"/>
    <w:rsid w:val="00A51B66"/>
    <w:rsid w:val="00A9571D"/>
    <w:rsid w:val="00AB21D2"/>
    <w:rsid w:val="00AD4E06"/>
    <w:rsid w:val="00AE41DD"/>
    <w:rsid w:val="00AE464B"/>
    <w:rsid w:val="00AF5784"/>
    <w:rsid w:val="00B20F2C"/>
    <w:rsid w:val="00B3506A"/>
    <w:rsid w:val="00B53A5D"/>
    <w:rsid w:val="00B933EC"/>
    <w:rsid w:val="00BA085C"/>
    <w:rsid w:val="00BA6589"/>
    <w:rsid w:val="00BD073F"/>
    <w:rsid w:val="00C10EB6"/>
    <w:rsid w:val="00C379F8"/>
    <w:rsid w:val="00C42DBC"/>
    <w:rsid w:val="00C543D0"/>
    <w:rsid w:val="00C80697"/>
    <w:rsid w:val="00C84895"/>
    <w:rsid w:val="00C96763"/>
    <w:rsid w:val="00CA2B7D"/>
    <w:rsid w:val="00CC1BA2"/>
    <w:rsid w:val="00CC4E52"/>
    <w:rsid w:val="00CD1FAC"/>
    <w:rsid w:val="00CF3921"/>
    <w:rsid w:val="00D40D62"/>
    <w:rsid w:val="00D65F4A"/>
    <w:rsid w:val="00D66A7B"/>
    <w:rsid w:val="00D80013"/>
    <w:rsid w:val="00DC6258"/>
    <w:rsid w:val="00DD6E65"/>
    <w:rsid w:val="00DF7293"/>
    <w:rsid w:val="00E001F5"/>
    <w:rsid w:val="00E264A8"/>
    <w:rsid w:val="00E575D4"/>
    <w:rsid w:val="00E70890"/>
    <w:rsid w:val="00E87028"/>
    <w:rsid w:val="00EF04F1"/>
    <w:rsid w:val="00EF0682"/>
    <w:rsid w:val="00F0099B"/>
    <w:rsid w:val="00F0311B"/>
    <w:rsid w:val="00F0546A"/>
    <w:rsid w:val="00F2015B"/>
    <w:rsid w:val="00F351CB"/>
    <w:rsid w:val="00F44FA2"/>
    <w:rsid w:val="00F55CEA"/>
    <w:rsid w:val="00F872CF"/>
    <w:rsid w:val="00FC175C"/>
    <w:rsid w:val="00FF2420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F031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F031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2023-04-14T10:00:00Z</cp:lastPrinted>
  <dcterms:created xsi:type="dcterms:W3CDTF">2024-09-03T10:39:00Z</dcterms:created>
  <dcterms:modified xsi:type="dcterms:W3CDTF">2024-09-03T10:39:00Z</dcterms:modified>
</cp:coreProperties>
</file>